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Sociaal Recht </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Vraag 1</w:t>
      </w:r>
    </w:p>
    <w:p w:rsidR="00000000" w:rsidDel="00000000" w:rsidP="00000000" w:rsidRDefault="00000000" w:rsidRPr="00000000" w14:paraId="00000004">
      <w:pPr>
        <w:rPr/>
      </w:pPr>
      <w:r w:rsidDel="00000000" w:rsidR="00000000" w:rsidRPr="00000000">
        <w:rPr>
          <w:rtl w:val="0"/>
        </w:rPr>
        <w:t xml:space="preserve">Flora, 16j, werkt bij een woonzorgcentrum (Olderly) onder vrijwilligerscontract. Olderly zegt mondeling toe op €8,5 per uur. Op het eind van de maand, krijgt ze haar ‘loon’, echter is het gemiddeld €1,5 minder dan toegezegd. Welke stappen kan Flora juridisch ondernemen?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Vraag 2</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Wat is de juridische definitie van een schorsingsgrond?</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Welke schorsingsgronden kan de werkgever inroepen?</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B: - overmacht (vb. brand) (art. 26 AOW)</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technische stoornis (art. 49 AOW)</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slecht weer (art. 50 AOW)</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economische werkloosheid/gebrek aan werk wegens economische oorzaken (art. 51)</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b w:val="1"/>
          <w:u w:val="single"/>
        </w:rPr>
      </w:pPr>
      <w:r w:rsidDel="00000000" w:rsidR="00000000" w:rsidRPr="00000000">
        <w:rPr>
          <w:b w:val="1"/>
          <w:u w:val="single"/>
          <w:rtl w:val="0"/>
        </w:rPr>
        <w:t xml:space="preserve">Vraag 3</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Wat verstaat de “wet interne rechtspositie” onder het normaliteitsbeginsel?</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Wat zijn de gevolgen voor de sociale zekerheid? Geef 2 voorbeelden.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 voor de tewerkstelling de norm gesteld dat deze dient te geschieden in omstandigheden die zoveel mogelijk overeenstemmen met deze die in de vrije samenleving identieke activiteiten kenmerken (</w:t>
      </w:r>
      <w:r w:rsidDel="00000000" w:rsidR="00000000" w:rsidRPr="00000000">
        <w:rPr>
          <w:b w:val="1"/>
          <w:rtl w:val="0"/>
        </w:rPr>
        <w:t xml:space="preserve">artikel 83 Wet Interne Rechtspositie</w:t>
      </w:r>
      <w:r w:rsidDel="00000000" w:rsidR="00000000" w:rsidRPr="00000000">
        <w:rPr>
          <w:rtl w:val="0"/>
        </w:rPr>
        <w:t xml:space="preserve">). Deze bepaling is een concrete toepassing van het “normaliteitsbeginsel” dat naast enkele andere beginselen (zie verder) aan de grondslag ligt van de Wet Interne Rechtspositie. (komt uit de tekst op toledo)</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Vraag 4</w:t>
      </w:r>
    </w:p>
    <w:p w:rsidR="00000000" w:rsidDel="00000000" w:rsidP="00000000" w:rsidRDefault="00000000" w:rsidRPr="00000000" w14:paraId="00000017">
      <w:pPr>
        <w:ind w:left="0" w:firstLine="0"/>
        <w:rPr/>
      </w:pPr>
      <w:r w:rsidDel="00000000" w:rsidR="00000000" w:rsidRPr="00000000">
        <w:rPr>
          <w:rtl w:val="0"/>
        </w:rPr>
        <w:t xml:space="preserve">Wat is het verschil in berekening tussen de invaliditeitsverzekering voor zelfstandigen en ambtenaren?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