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color w:val="ffff00"/>
          <w:sz w:val="28"/>
          <w:szCs w:val="28"/>
          <w:highlight w:val="black"/>
        </w:rPr>
      </w:pPr>
      <w:r w:rsidDel="00000000" w:rsidR="00000000" w:rsidRPr="00000000">
        <w:rPr>
          <w:b w:val="1"/>
          <w:bCs w:val="1"/>
          <w:i w:val="1"/>
          <w:iCs w:val="1"/>
          <w:color w:val="ffff00"/>
          <w:sz w:val="28"/>
          <w:szCs w:val="28"/>
          <w:highlight w:val="black"/>
          <w:rtl w:val="0"/>
        </w:rPr>
        <w:t xml:space="preserve">POLITIE JUNI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left="0" w:firstLine="0"/>
        <w:rPr>
          <w:b w:val="1"/>
          <w:bCs w:val="1"/>
        </w:rPr>
      </w:pPr>
      <w:r w:rsidDel="00000000" w:rsidR="00000000" w:rsidRPr="00000000">
        <w:rPr>
          <w:b w:val="1"/>
          <w:bCs w:val="1"/>
          <w:rtl w:val="0"/>
        </w:rPr>
        <w:t xml:space="preserve">vraag 1 Vergelijk de interne organisatie, opdrachten, beheer, beleid en gezag tussen rijkswacht en federale politie (verschillen en gelijkenissen)</w:t>
      </w:r>
    </w:p>
    <w:p w:rsidR="00000000" w:rsidDel="00000000" w:rsidP="00000000" w:rsidRDefault="00000000" w:rsidRPr="00000000" w14:paraId="00000004">
      <w:pPr>
        <w:ind w:left="0" w:firstLine="0"/>
        <w:rPr>
          <w:color w:val="1155cc"/>
        </w:rPr>
      </w:pPr>
      <w:r w:rsidDel="00000000" w:rsidR="00000000" w:rsidRPr="00000000">
        <w:rPr>
          <w:rtl w:val="0"/>
        </w:rPr>
      </w:r>
    </w:p>
    <w:p w:rsidR="00000000" w:rsidDel="00000000" w:rsidP="00000000" w:rsidRDefault="00000000" w:rsidRPr="00000000" w14:paraId="00000005">
      <w:pPr>
        <w:rPr>
          <w:color w:val="1155cc"/>
        </w:rPr>
      </w:pPr>
      <w:r w:rsidDel="00000000" w:rsidR="00000000" w:rsidRPr="00000000">
        <w:rPr>
          <w:color w:val="1155cc"/>
          <w:rtl w:val="0"/>
        </w:rPr>
        <w:t xml:space="preserve">Ik had dit ongeveer: </w:t>
      </w:r>
    </w:p>
    <w:p w:rsidR="00000000" w:rsidDel="00000000" w:rsidP="00000000" w:rsidRDefault="00000000" w:rsidRPr="00000000" w14:paraId="00000006">
      <w:pPr>
        <w:spacing w:after="240" w:before="240" w:lineRule="auto"/>
        <w:rPr>
          <w:b w:val="1"/>
          <w:bCs w:val="1"/>
          <w:color w:val="1155cc"/>
        </w:rPr>
      </w:pPr>
      <w:r w:rsidDel="00000000" w:rsidR="00000000" w:rsidRPr="00000000">
        <w:rPr>
          <w:b w:val="1"/>
          <w:bCs w:val="1"/>
          <w:color w:val="1155cc"/>
          <w:rtl w:val="0"/>
        </w:rPr>
        <w:t xml:space="preserve">1. Interne organisatie</w:t>
      </w:r>
    </w:p>
    <w:p w:rsidR="00000000" w:rsidDel="00000000" w:rsidP="00000000" w:rsidRDefault="00000000" w:rsidRPr="00000000" w14:paraId="00000007">
      <w:pPr>
        <w:spacing w:after="240" w:before="240" w:lineRule="auto"/>
        <w:rPr>
          <w:color w:val="1155cc"/>
        </w:rPr>
      </w:pPr>
      <w:r w:rsidDel="00000000" w:rsidR="00000000" w:rsidRPr="00000000">
        <w:rPr>
          <w:rFonts w:ascii="Arial Unicode MS" w:cs="Arial Unicode MS" w:eastAsia="Arial Unicode MS" w:hAnsi="Arial Unicode MS"/>
          <w:color w:val="1155cc"/>
          <w:rtl w:val="0"/>
        </w:rPr>
        <w:t xml:space="preserve">De rijkswacht was een militair korps (4e krijgsmacht) met een strakke piramide: Brussel → groepen → districten met BOB's → brigades tot in de kleinste gemeente. Na de demilitarisering in 1991 bleef de structuur maar werd het een burgerlijk korps.De federale politie (vanaf 2001, WGP) is strikt burgerlijk. Centraal niveau: Commissaris-generaal met drie gelijkwaardige directies (DGA, DGJ, DGR). Gedeconcentreerd niveau: 13 CSD's (DirCo) en 14 FGP's (DirJud) in de arrondissementen.</w:t>
      </w:r>
    </w:p>
    <w:p w:rsidR="00000000" w:rsidDel="00000000" w:rsidP="00000000" w:rsidRDefault="00000000" w:rsidRPr="00000000" w14:paraId="00000008">
      <w:pPr>
        <w:spacing w:after="240" w:before="240" w:lineRule="auto"/>
        <w:rPr>
          <w:b w:val="1"/>
          <w:bCs w:val="1"/>
          <w:color w:val="1155cc"/>
        </w:rPr>
      </w:pPr>
      <w:r w:rsidDel="00000000" w:rsidR="00000000" w:rsidRPr="00000000">
        <w:rPr>
          <w:b w:val="1"/>
          <w:bCs w:val="1"/>
          <w:color w:val="1155cc"/>
          <w:rtl w:val="0"/>
        </w:rPr>
        <w:t xml:space="preserve">2. Opdrachten</w:t>
      </w:r>
    </w:p>
    <w:p w:rsidR="00000000" w:rsidDel="00000000" w:rsidP="00000000" w:rsidRDefault="00000000" w:rsidRPr="00000000" w14:paraId="00000009">
      <w:pPr>
        <w:spacing w:after="240" w:before="240" w:lineRule="auto"/>
        <w:rPr>
          <w:color w:val="1155cc"/>
        </w:rPr>
      </w:pPr>
      <w:r w:rsidDel="00000000" w:rsidR="00000000" w:rsidRPr="00000000">
        <w:rPr>
          <w:color w:val="1155cc"/>
          <w:rtl w:val="0"/>
        </w:rPr>
        <w:t xml:space="preserve">De rijkswacht deed alles — van lokale wijkproblemen tot nationaal terrorisme. Ze vulde het gat dat de disfunctionerende gemeentepolitie liet.De federale politie is strikt afgebakend tot gespecialiseerde en supralokale opdrachten (art. 3 WGP). Basispolitiezorg = exclusief lokale politie. Taakverdeling met lokale recherche via COL 2/2002.</w:t>
      </w:r>
    </w:p>
    <w:p w:rsidR="00000000" w:rsidDel="00000000" w:rsidP="00000000" w:rsidRDefault="00000000" w:rsidRPr="00000000" w14:paraId="0000000A">
      <w:pPr>
        <w:spacing w:after="240" w:before="240" w:lineRule="auto"/>
        <w:rPr>
          <w:b w:val="1"/>
          <w:bCs w:val="1"/>
          <w:color w:val="1155cc"/>
        </w:rPr>
      </w:pPr>
      <w:r w:rsidDel="00000000" w:rsidR="00000000" w:rsidRPr="00000000">
        <w:rPr>
          <w:b w:val="1"/>
          <w:bCs w:val="1"/>
          <w:color w:val="1155cc"/>
          <w:rtl w:val="0"/>
        </w:rPr>
        <w:t xml:space="preserve">3. Beheer</w:t>
      </w:r>
    </w:p>
    <w:p w:rsidR="00000000" w:rsidDel="00000000" w:rsidP="00000000" w:rsidRDefault="00000000" w:rsidRPr="00000000" w14:paraId="0000000B">
      <w:pPr>
        <w:spacing w:after="240" w:before="240" w:lineRule="auto"/>
        <w:rPr>
          <w:color w:val="1155cc"/>
        </w:rPr>
      </w:pPr>
      <w:r w:rsidDel="00000000" w:rsidR="00000000" w:rsidRPr="00000000">
        <w:rPr>
          <w:color w:val="1155cc"/>
          <w:rtl w:val="0"/>
        </w:rPr>
        <w:t xml:space="preserve">Rijkswacht: tot 1991 onder Ministerie van Landsverdediging, daarna Min. BZ.Federale politie: gedeeld beheer Min. BZ + Min. Justitie. Intern verzorgd door DGR (budget, ICT, personeel).</w:t>
      </w:r>
    </w:p>
    <w:p w:rsidR="00000000" w:rsidDel="00000000" w:rsidP="00000000" w:rsidRDefault="00000000" w:rsidRPr="00000000" w14:paraId="0000000C">
      <w:pPr>
        <w:spacing w:after="240" w:before="240" w:lineRule="auto"/>
        <w:rPr>
          <w:b w:val="1"/>
          <w:bCs w:val="1"/>
          <w:color w:val="1155cc"/>
        </w:rPr>
      </w:pPr>
      <w:r w:rsidDel="00000000" w:rsidR="00000000" w:rsidRPr="00000000">
        <w:rPr>
          <w:b w:val="1"/>
          <w:bCs w:val="1"/>
          <w:color w:val="1155cc"/>
          <w:rtl w:val="0"/>
        </w:rPr>
        <w:t xml:space="preserve">4. Gezag &amp; beleid</w:t>
      </w:r>
    </w:p>
    <w:p w:rsidR="00000000" w:rsidDel="00000000" w:rsidP="00000000" w:rsidRDefault="00000000" w:rsidRPr="00000000" w14:paraId="0000000D">
      <w:pPr>
        <w:spacing w:after="240" w:before="240" w:lineRule="auto"/>
        <w:rPr>
          <w:color w:val="1155cc"/>
        </w:rPr>
      </w:pPr>
      <w:r w:rsidDel="00000000" w:rsidR="00000000" w:rsidRPr="00000000">
        <w:rPr>
          <w:color w:val="1155cc"/>
          <w:rtl w:val="0"/>
        </w:rPr>
        <w:t xml:space="preserve">De rijkswacht was een "staat in de staat" — bepaalde zelf zijn prioriteiten, hield informatie achter tegenover GPP en magistratuur, geen echte politieke controle.De federale politie opereert onder strikt wettelijk gezag (art. 1 WPA). Bestuurlijk gezag: Min. BZ. Gerechtelijk gezag: OM en onderzoeksrechter (art. 15 WPA + art. 8 Sv.). Beleid wordt vastgelegd in een vierjaarlijks Nationaal Veiligheidsplan (art. 4 WGP). Permanent toezicht door Comité P en AIG.</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rtl w:val="0"/>
        </w:rPr>
      </w:r>
    </w:p>
    <w:p w:rsidR="00000000" w:rsidDel="00000000" w:rsidP="00000000" w:rsidRDefault="00000000" w:rsidRPr="00000000" w14:paraId="00000010">
      <w:pPr>
        <w:ind w:left="0" w:firstLine="0"/>
        <w:rPr>
          <w:color w:val="1155cc"/>
          <w:sz w:val="24"/>
          <w:szCs w:val="24"/>
          <w:highlight w:val="white"/>
        </w:rPr>
      </w:pPr>
      <w:r w:rsidDel="00000000" w:rsidR="00000000" w:rsidRPr="00000000">
        <w:rPr>
          <w:rtl w:val="0"/>
        </w:rPr>
        <w:t xml:space="preserve">Leg uit: etnisch profileren </w:t>
      </w:r>
      <w:r w:rsidDel="00000000" w:rsidR="00000000" w:rsidRPr="00000000">
        <w:rPr>
          <w:color w:val="ff0000"/>
          <w:rtl w:val="0"/>
        </w:rPr>
        <w:t xml:space="preserve">Dat mensen worden aangehouden/gecontroleerd obv hun etnische achtergrond en niet obv redelijke gronden? </w:t>
      </w:r>
      <w:r w:rsidDel="00000000" w:rsidR="00000000" w:rsidRPr="00000000">
        <w:rPr>
          <w:color w:val="00ffff"/>
          <w:rtl w:val="0"/>
        </w:rPr>
        <w:t xml:space="preserve">ik had vooral dat het </w:t>
      </w:r>
      <w:r w:rsidDel="00000000" w:rsidR="00000000" w:rsidRPr="00000000">
        <w:rPr>
          <w:color w:val="00ffff"/>
          <w:u w:val="single"/>
          <w:rtl w:val="0"/>
        </w:rPr>
        <w:t xml:space="preserve">exclusief</w:t>
      </w:r>
      <w:r w:rsidDel="00000000" w:rsidR="00000000" w:rsidRPr="00000000">
        <w:rPr>
          <w:color w:val="00ffff"/>
          <w:rtl w:val="0"/>
        </w:rPr>
        <w:t xml:space="preserve"> op grond van etniciteit is</w:t>
      </w:r>
      <w:r w:rsidDel="00000000" w:rsidR="00000000" w:rsidRPr="00000000">
        <w:rPr>
          <w:color w:val="ff0000"/>
          <w:rtl w:val="0"/>
        </w:rPr>
        <w:t xml:space="preserve"> </w:t>
      </w:r>
      <w:r w:rsidDel="00000000" w:rsidR="00000000" w:rsidRPr="00000000">
        <w:rPr>
          <w:color w:val="1155cc"/>
          <w:sz w:val="24"/>
          <w:szCs w:val="24"/>
          <w:highlight w:val="white"/>
          <w:rtl w:val="0"/>
        </w:rPr>
        <w:t xml:space="preserve">Etnisch profileren is een problematiek die zich in het politierecht voornamelijk situeert bij de uitoefening van politionele identiteitscontroles, waarbij de politie in strijd handelt met haar negatieve verplichtingen om de grondrechten van burgers te respecteren (dit had ik ongeveer)</w:t>
      </w:r>
    </w:p>
    <w:p w:rsidR="00000000" w:rsidDel="00000000" w:rsidP="00000000" w:rsidRDefault="00000000" w:rsidRPr="00000000" w14:paraId="00000011">
      <w:pPr>
        <w:ind w:left="0" w:firstLine="0"/>
        <w:rPr>
          <w:color w:val="1155cc"/>
          <w:sz w:val="24"/>
          <w:szCs w:val="24"/>
          <w:highlight w:val="white"/>
        </w:rPr>
      </w:pPr>
      <w:r w:rsidDel="00000000" w:rsidR="00000000" w:rsidRPr="00000000">
        <w:rPr>
          <w:rtl w:val="0"/>
        </w:rPr>
      </w:r>
    </w:p>
    <w:p w:rsidR="00000000" w:rsidDel="00000000" w:rsidP="00000000" w:rsidRDefault="00000000" w:rsidRPr="00000000" w14:paraId="00000012">
      <w:pPr>
        <w:ind w:left="0" w:firstLine="0"/>
        <w:rPr>
          <w:color w:val="1155cc"/>
        </w:rPr>
      </w:pPr>
      <w:r w:rsidDel="00000000" w:rsidR="00000000" w:rsidRPr="00000000">
        <w:rPr>
          <w:rtl w:val="0"/>
        </w:rPr>
        <w:t xml:space="preserve">- op welke gronden is dit problematisch volgens het EHRM </w:t>
      </w:r>
      <w:r w:rsidDel="00000000" w:rsidR="00000000" w:rsidRPr="00000000">
        <w:rPr>
          <w:color w:val="ff0000"/>
          <w:rtl w:val="0"/>
        </w:rPr>
        <w:t xml:space="preserve">Ik had 3,8 en 14 EVRM</w:t>
      </w:r>
      <w:r w:rsidDel="00000000" w:rsidR="00000000" w:rsidRPr="00000000">
        <w:rPr>
          <w:color w:val="00ffff"/>
          <w:rtl w:val="0"/>
        </w:rPr>
        <w:t xml:space="preserve">, ik ook, </w:t>
      </w:r>
      <w:r w:rsidDel="00000000" w:rsidR="00000000" w:rsidRPr="00000000">
        <w:rPr>
          <w:color w:val="1155cc"/>
          <w:rtl w:val="0"/>
        </w:rPr>
        <w:t xml:space="preserve">Ik ook! </w:t>
      </w:r>
    </w:p>
    <w:p w:rsidR="00000000" w:rsidDel="00000000" w:rsidP="00000000" w:rsidRDefault="00000000" w:rsidRPr="00000000" w14:paraId="00000013">
      <w:pPr>
        <w:ind w:left="0" w:firstLine="0"/>
        <w:rPr/>
      </w:pPr>
      <w:r w:rsidDel="00000000" w:rsidR="00000000" w:rsidRPr="00000000">
        <w:rPr>
          <w:b w:val="1"/>
          <w:bCs w:val="1"/>
          <w:rtl w:val="0"/>
        </w:rPr>
        <w:t xml:space="preserve">- Leg uit waarom er in de rechtspraak vaak wordt gezegd dat de WPA de deur open zet naar willekeur en leg ook het handelingskader uit dat hierbij is ontworpen</w:t>
      </w:r>
      <w:r w:rsidDel="00000000" w:rsidR="00000000" w:rsidRPr="00000000">
        <w:rPr>
          <w:rtl w:val="0"/>
        </w:rPr>
        <w:t xml:space="preserve"> (dus CP 3 denk ik) Ik had CP 5 want daar staat een handelingskader in </w:t>
      </w:r>
    </w:p>
    <w:p w:rsidR="00000000" w:rsidDel="00000000" w:rsidP="00000000" w:rsidRDefault="00000000" w:rsidRPr="00000000" w14:paraId="00000014">
      <w:pPr>
        <w:ind w:left="0" w:firstLine="0"/>
        <w:rPr>
          <w:color w:val="1155cc"/>
        </w:rPr>
      </w:pPr>
      <w:r w:rsidDel="00000000" w:rsidR="00000000" w:rsidRPr="00000000">
        <w:rPr>
          <w:rFonts w:ascii="Arial Unicode MS" w:cs="Arial Unicode MS" w:eastAsia="Arial Unicode MS" w:hAnsi="Arial Unicode MS"/>
          <w:color w:val="1155cc"/>
          <w:rtl w:val="0"/>
        </w:rPr>
        <w:t xml:space="preserve">⇒ ik had hier: De rechtspraak waarschuwt voor willekeur omdat politionele dwangmaatregelen, zoals de identiteitscontrole uit </w:t>
      </w:r>
      <w:r w:rsidDel="00000000" w:rsidR="00000000" w:rsidRPr="00000000">
        <w:rPr>
          <w:b w:val="1"/>
          <w:bCs w:val="1"/>
          <w:color w:val="1155cc"/>
          <w:rtl w:val="0"/>
        </w:rPr>
        <w:t xml:space="preserve">artikel 34, §1 WPA</w:t>
      </w:r>
      <w:r w:rsidDel="00000000" w:rsidR="00000000" w:rsidRPr="00000000">
        <w:rPr>
          <w:color w:val="1155cc"/>
          <w:rtl w:val="0"/>
        </w:rPr>
        <w:t xml:space="preserve"> en het doorzoeken van voertuigen uit </w:t>
      </w:r>
      <w:r w:rsidDel="00000000" w:rsidR="00000000" w:rsidRPr="00000000">
        <w:rPr>
          <w:b w:val="1"/>
          <w:bCs w:val="1"/>
          <w:color w:val="1155cc"/>
          <w:rtl w:val="0"/>
        </w:rPr>
        <w:t xml:space="preserve">artikel 29 WPA</w:t>
      </w:r>
      <w:r w:rsidDel="00000000" w:rsidR="00000000" w:rsidRPr="00000000">
        <w:rPr>
          <w:color w:val="1155cc"/>
          <w:rtl w:val="0"/>
        </w:rPr>
        <w:t xml:space="preserve">, steunen op het vage en abstracte criterium van "redelijke gronden", wat het risico creëert dat acties louter gebaseerd worden op een subjectief 'buikgevoel' of sociale stereotypen. Dit gevaar op willekeur en etnisch profileren, wat het discriminatieverbod uit </w:t>
      </w:r>
      <w:r w:rsidDel="00000000" w:rsidR="00000000" w:rsidRPr="00000000">
        <w:rPr>
          <w:b w:val="1"/>
          <w:bCs w:val="1"/>
          <w:color w:val="1155cc"/>
          <w:rtl w:val="0"/>
        </w:rPr>
        <w:t xml:space="preserve">artikel 14 EVRM</w:t>
      </w:r>
      <w:r w:rsidDel="00000000" w:rsidR="00000000" w:rsidRPr="00000000">
        <w:rPr>
          <w:color w:val="1155cc"/>
          <w:rtl w:val="0"/>
        </w:rPr>
        <w:t xml:space="preserve"> juncto </w:t>
      </w:r>
      <w:r w:rsidDel="00000000" w:rsidR="00000000" w:rsidRPr="00000000">
        <w:rPr>
          <w:b w:val="1"/>
          <w:bCs w:val="1"/>
          <w:color w:val="1155cc"/>
          <w:rtl w:val="0"/>
        </w:rPr>
        <w:t xml:space="preserve">artikel 8 EVRM</w:t>
      </w:r>
      <w:r w:rsidDel="00000000" w:rsidR="00000000" w:rsidRPr="00000000">
        <w:rPr>
          <w:color w:val="1155cc"/>
          <w:rtl w:val="0"/>
        </w:rPr>
        <w:t xml:space="preserve"> schendt, wordt juridisch versterkt doordat de WPA zelf geen uitdrukkelijke wettelijke plicht bevat om deze controles in een proces-verbaal te motiveren. Om deze willekeur in de praktijk tegen te gaan, is het handelingskader van de </w:t>
      </w:r>
      <w:r w:rsidDel="00000000" w:rsidR="00000000" w:rsidRPr="00000000">
        <w:rPr>
          <w:b w:val="1"/>
          <w:bCs w:val="1"/>
          <w:color w:val="1155cc"/>
          <w:rtl w:val="0"/>
        </w:rPr>
        <w:t xml:space="preserve">Omzendbrief CP 5</w:t>
      </w:r>
      <w:r w:rsidDel="00000000" w:rsidR="00000000" w:rsidRPr="00000000">
        <w:rPr>
          <w:color w:val="1155cc"/>
          <w:rtl w:val="0"/>
        </w:rPr>
        <w:t xml:space="preserve"> inzake "professioneel profileren en controleren" ontworpen. Dit kader stelt dwingend dat de selectie van een te controleren persoon of voertuig absoluut gebaseerd moet zijn op objectieve elementen (zoals gedragingen of omstandigheden) en verbiedt controles louter op basis van persoonskenmerken. Ten slotte raadt de Omzendbrief CP 5, ter compensatie van de lacune in de WPA, ten stelligste aan om de redelijke gronden maximaal en objectief te motiveren in het proces-verbaal, gezien een gebrekkige motivering door de rechter via de verstrengde Antigoon-toets (</w:t>
      </w:r>
      <w:r w:rsidDel="00000000" w:rsidR="00000000" w:rsidRPr="00000000">
        <w:rPr>
          <w:b w:val="1"/>
          <w:bCs w:val="1"/>
          <w:color w:val="1155cc"/>
          <w:rtl w:val="0"/>
        </w:rPr>
        <w:t xml:space="preserve">artikel 32 V.T.Sv.</w:t>
      </w:r>
      <w:r w:rsidDel="00000000" w:rsidR="00000000" w:rsidRPr="00000000">
        <w:rPr>
          <w:color w:val="1155cc"/>
          <w:rtl w:val="0"/>
        </w:rPr>
        <w:t xml:space="preserve">) afgestraft kan worden met bewijsuitsluiting.</w:t>
      </w:r>
    </w:p>
    <w:p w:rsidR="00000000" w:rsidDel="00000000" w:rsidP="00000000" w:rsidRDefault="00000000" w:rsidRPr="00000000" w14:paraId="00000015">
      <w:pPr>
        <w:ind w:left="0" w:firstLine="0"/>
        <w:rPr>
          <w:color w:val="1155cc"/>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b w:val="1"/>
          <w:bCs w:val="1"/>
        </w:rPr>
      </w:pPr>
      <w:r w:rsidDel="00000000" w:rsidR="00000000" w:rsidRPr="00000000">
        <w:rPr>
          <w:b w:val="1"/>
          <w:bCs w:val="1"/>
          <w:rtl w:val="0"/>
        </w:rPr>
        <w:t xml:space="preserve">Ondermijnende criminaliteit</w:t>
      </w:r>
    </w:p>
    <w:p w:rsidR="00000000" w:rsidDel="00000000" w:rsidP="00000000" w:rsidRDefault="00000000" w:rsidRPr="00000000" w14:paraId="00000018">
      <w:pPr>
        <w:ind w:left="0" w:firstLine="0"/>
        <w:rPr/>
      </w:pPr>
      <w:r w:rsidDel="00000000" w:rsidR="00000000" w:rsidRPr="00000000">
        <w:rPr>
          <w:rtl w:val="0"/>
        </w:rPr>
        <w:t xml:space="preserve">- leg verhouding gerechtelijke en bestuurlijke aanpak uit</w:t>
      </w:r>
    </w:p>
    <w:p w:rsidR="00000000" w:rsidDel="00000000" w:rsidP="00000000" w:rsidRDefault="00000000" w:rsidRPr="00000000" w14:paraId="00000019">
      <w:pPr>
        <w:ind w:left="0" w:firstLine="0"/>
        <w:rPr>
          <w:color w:val="4a86e8"/>
        </w:rPr>
      </w:pPr>
      <w:r w:rsidDel="00000000" w:rsidR="00000000" w:rsidRPr="00000000">
        <w:rPr>
          <w:color w:val="4a86e8"/>
          <w:rtl w:val="0"/>
        </w:rPr>
        <w:t xml:space="preserve">gerechtelijke: is al een misdrijf, pas schuldig als onschuld bewezen is, etc. </w:t>
      </w:r>
    </w:p>
    <w:p w:rsidR="00000000" w:rsidDel="00000000" w:rsidP="00000000" w:rsidRDefault="00000000" w:rsidRPr="00000000" w14:paraId="0000001A">
      <w:pPr>
        <w:ind w:left="0" w:firstLine="0"/>
        <w:rPr>
          <w:color w:val="4a86e8"/>
        </w:rPr>
      </w:pPr>
      <w:r w:rsidDel="00000000" w:rsidR="00000000" w:rsidRPr="00000000">
        <w:rPr>
          <w:color w:val="4a86e8"/>
          <w:rtl w:val="0"/>
        </w:rPr>
        <w:t xml:space="preserve">bestuurlijke: gaan preventief controles doen (met dergelijke redenen) =&gt; nog geen misdrijf en kunnen weigering, schorsing,... krijgen als er risico’s zijn dus nog niet per se schuldig en worden al wel maatregelen genomen? </w:t>
      </w:r>
    </w:p>
    <w:p w:rsidR="00000000" w:rsidDel="00000000" w:rsidP="00000000" w:rsidRDefault="00000000" w:rsidRPr="00000000" w14:paraId="0000001B">
      <w:pPr>
        <w:ind w:left="0" w:firstLine="0"/>
        <w:jc w:val="both"/>
        <w:rPr>
          <w:color w:val="1155cc"/>
        </w:rPr>
      </w:pPr>
      <w:r w:rsidDel="00000000" w:rsidR="00000000" w:rsidRPr="00000000">
        <w:rPr>
          <w:rFonts w:ascii="Arial Unicode MS" w:cs="Arial Unicode MS" w:eastAsia="Arial Unicode MS" w:hAnsi="Arial Unicode MS"/>
          <w:color w:val="1155cc"/>
          <w:rtl w:val="0"/>
        </w:rPr>
        <w:t xml:space="preserve">ik had dit: criminaliteit die vanuit de onderwereld doordringt in de legale bovenwereld  vereist een integrale aanpak waarbij strafrecht en bestuursrecht elkaar aanvullen. De gerechtelijke aanpak is reactief en repressief: ze richt zich op daders, bewijzen en bestraffing, maar laat de misbruikte structuren vaak ongemoeid. De bestuurlijke aanpak vult dit gat op door zich niet op de dader maar op de ondermijnende gevolgen te richten  preventief, via het "barrièremodel". De wettelijke basis hiervoor is de DIOB-wet (15 januari 2024, art. 119ter §10 NGW): het CBS kan vergunningen weigeren, schorsen of intrekken en PTI's sluiten wanneer er een aanwijsbaar ernstig ondermijningsrisico is. Beide aanpakken kunnen perfect samenlopen, waarbij de politie optreedt als hofleverancier van informatie voor de lokale risicoanalyse. Het Grondwettelijk Hof bevestigde in 2025 (arrest 2025/142) dat de bestuurlijke maatregel geen strafrechtelijke sanctie is maar louter een toekomstig veiligheidsrisico neutraliseert ⇒ al moet de maatregel worden heroverwogen bij een definitieve vrijspraak in het strafonderzoek.</w:t>
      </w:r>
    </w:p>
    <w:p w:rsidR="00000000" w:rsidDel="00000000" w:rsidP="00000000" w:rsidRDefault="00000000" w:rsidRPr="00000000" w14:paraId="0000001C">
      <w:pPr>
        <w:ind w:left="0" w:firstLine="0"/>
        <w:rPr>
          <w:color w:val="ffff00"/>
        </w:rPr>
      </w:pPr>
      <w:r w:rsidDel="00000000" w:rsidR="00000000" w:rsidRPr="00000000">
        <w:rPr>
          <w:rtl w:val="0"/>
        </w:rPr>
      </w:r>
    </w:p>
    <w:p w:rsidR="00000000" w:rsidDel="00000000" w:rsidP="00000000" w:rsidRDefault="00000000" w:rsidRPr="00000000" w14:paraId="0000001D">
      <w:pPr>
        <w:ind w:left="0" w:firstLine="0"/>
        <w:rPr>
          <w:color w:val="4a86e8"/>
        </w:rPr>
      </w:pPr>
      <w:r w:rsidDel="00000000" w:rsidR="00000000" w:rsidRPr="00000000">
        <w:rPr>
          <w:b w:val="1"/>
          <w:bCs w:val="1"/>
          <w:rtl w:val="0"/>
        </w:rPr>
        <w:t xml:space="preserve">- Leg link tussen bestuurlijke aanpak en vermoeden van onschuld</w:t>
      </w:r>
      <w:r w:rsidDel="00000000" w:rsidR="00000000" w:rsidRPr="00000000">
        <w:rPr>
          <w:rtl w:val="0"/>
        </w:rPr>
        <w:t xml:space="preserve"> </w:t>
      </w:r>
      <w:r w:rsidDel="00000000" w:rsidR="00000000" w:rsidRPr="00000000">
        <w:rPr>
          <w:color w:val="ff0000"/>
          <w:rtl w:val="0"/>
        </w:rPr>
        <w:t xml:space="preserve">Ik had hier dat er veel kritiek kwam op de bestuurlijke aanpakken omwille van het vermoeden van onschuld? En dan die puntjes gegeven van: er is geen sprake over schuld of onschuld, preventieve maatregelen, principes bestuurlijke aanpak blijven gelden, herevaluatie indien vrijspraak en rekening houden bij straftoemeting? </w:t>
      </w:r>
      <w:r w:rsidDel="00000000" w:rsidR="00000000" w:rsidRPr="00000000">
        <w:rPr>
          <w:rtl w:val="0"/>
        </w:rPr>
      </w:r>
    </w:p>
    <w:p w:rsidR="00000000" w:rsidDel="00000000" w:rsidP="00000000" w:rsidRDefault="00000000" w:rsidRPr="00000000" w14:paraId="0000001E">
      <w:pPr>
        <w:ind w:left="0" w:firstLine="0"/>
        <w:rPr>
          <w:color w:val="ff0000"/>
        </w:rPr>
      </w:pPr>
      <w:r w:rsidDel="00000000" w:rsidR="00000000" w:rsidRPr="00000000">
        <w:rPr>
          <w:rtl w:val="0"/>
        </w:rPr>
      </w:r>
    </w:p>
    <w:p w:rsidR="00000000" w:rsidDel="00000000" w:rsidP="00000000" w:rsidRDefault="00000000" w:rsidRPr="00000000" w14:paraId="0000001F">
      <w:pPr>
        <w:ind w:left="0" w:firstLine="0"/>
        <w:rPr>
          <w:color w:val="0000ff"/>
        </w:rPr>
      </w:pPr>
      <w:r w:rsidDel="00000000" w:rsidR="00000000" w:rsidRPr="00000000">
        <w:rPr>
          <w:b w:val="1"/>
          <w:bCs w:val="1"/>
          <w:rtl w:val="0"/>
        </w:rPr>
        <w:t xml:space="preserve">- Leg de procedure van de DIOB-wet uit en geef 2 procedurele beperkingen of bezwaren of zoiets </w:t>
      </w:r>
      <w:r w:rsidDel="00000000" w:rsidR="00000000" w:rsidRPr="00000000">
        <w:rPr>
          <w:color w:val="ff0000"/>
          <w:rtl w:val="0"/>
        </w:rPr>
        <w:t xml:space="preserve">hadden jullie dit ook grotendeels vanuit de codex overgeschreven? </w:t>
      </w:r>
      <w:r w:rsidDel="00000000" w:rsidR="00000000" w:rsidRPr="00000000">
        <w:rPr>
          <w:rFonts w:ascii="Arial Unicode MS" w:cs="Arial Unicode MS" w:eastAsia="Arial Unicode MS" w:hAnsi="Arial Unicode MS"/>
          <w:color w:val="4a86e8"/>
          <w:rtl w:val="0"/>
        </w:rPr>
        <w:t xml:space="preserve">→ ja, combinatie van art. 119ter NGW en DIOB-wet artikels. </w:t>
      </w:r>
      <w:r w:rsidDel="00000000" w:rsidR="00000000" w:rsidRPr="00000000">
        <w:rPr>
          <w:color w:val="0000ff"/>
          <w:rtl w:val="0"/>
        </w:rPr>
        <w:t xml:space="preserve">Poging tot, vond deze vraag wel echt gigantisch moeilijk…</w:t>
      </w:r>
    </w:p>
    <w:p w:rsidR="00000000" w:rsidDel="00000000" w:rsidP="00000000" w:rsidRDefault="00000000" w:rsidRPr="00000000" w14:paraId="00000020">
      <w:pPr>
        <w:ind w:left="0" w:firstLine="0"/>
        <w:rPr>
          <w:color w:val="0000ff"/>
        </w:rPr>
      </w:pPr>
      <w:r w:rsidDel="00000000" w:rsidR="00000000" w:rsidRPr="00000000">
        <w:rPr>
          <w:rtl w:val="0"/>
        </w:rPr>
      </w:r>
    </w:p>
    <w:p w:rsidR="00000000" w:rsidDel="00000000" w:rsidP="00000000" w:rsidRDefault="00000000" w:rsidRPr="00000000" w14:paraId="00000021">
      <w:pPr>
        <w:spacing w:after="240" w:before="240" w:lineRule="auto"/>
        <w:rPr>
          <w:color w:val="76a5af"/>
        </w:rPr>
      </w:pPr>
      <w:r w:rsidDel="00000000" w:rsidR="00000000" w:rsidRPr="00000000">
        <w:rPr>
          <w:color w:val="76a5af"/>
          <w:rtl w:val="0"/>
        </w:rPr>
        <w:t xml:space="preserve">De DIOB-wet (15 januari 2024, art. 119ter §10 NGW) geeft lokale besturen de bevoegdheid om via een gemeentelijk integriteitsonderzoek van zeven verplichte stappen  van raadpleging van het Centraal Register over politieadvies en strafregister tot consultatie van ARIEC en gerechtelijke overheden het ondermijningsrisico te beoordelen, waarna het CBS bij een aanwijsbaar ernstig risico kan overgaan tot weigering, schorsing, intrekking van vergunningen of sluiting van een PTI, mits verplicht voorafgaand advies van de DIOB. Een eerste belangrijk bezwaar is de logge sectorale benadering: de gemeente kan niet gericht één malafide uitbater viseren maar moet de volledige sector aan het onderzoek onderwerpen, wat in combinatie met de verplichte DIOB-advisering een zware flessenhals dreigt te creëren. Een tweede fundamenteel bezwaar is de spanning met het vermoeden van onschuld (art. 6 EVRM), al verwierp het Grondwettelijk Hof dit in arrest 2025/142 door de maatregel te kwalificeren als louter preventief en niet als strafrechtelijke sanctie. Wel legt het Hof het CBS zware procedurele verplichtingen op: strikte motiveringsplicht, hoorrecht voor de betrokkene, proportionaliteitsbeginsel en een periodieke herevaluatieverplichting waarbij een latere strafrechtelijke vrijspraak in principe tot heroverweging van de bestuurlijke maatregel moet leiden. en veeel uit wetgeving gehaald wel </w:t>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Leg het legaliteitsbeginsel uit</w:t>
      </w:r>
    </w:p>
    <w:p w:rsidR="00000000" w:rsidDel="00000000" w:rsidP="00000000" w:rsidRDefault="00000000" w:rsidRPr="00000000" w14:paraId="00000024">
      <w:pPr>
        <w:ind w:left="0" w:firstLine="0"/>
        <w:rPr/>
      </w:pPr>
      <w:r w:rsidDel="00000000" w:rsidR="00000000" w:rsidRPr="00000000">
        <w:rPr>
          <w:rtl w:val="0"/>
        </w:rPr>
        <w:t xml:space="preserve">- maak ook een onderscheid tussen permissieve en prohibitieve regel </w:t>
      </w:r>
    </w:p>
    <w:p w:rsidR="00000000" w:rsidDel="00000000" w:rsidP="00000000" w:rsidRDefault="00000000" w:rsidRPr="00000000" w14:paraId="00000025">
      <w:pPr>
        <w:ind w:left="0" w:firstLine="0"/>
        <w:rPr/>
      </w:pPr>
      <w:r w:rsidDel="00000000" w:rsidR="00000000" w:rsidRPr="00000000">
        <w:rPr>
          <w:rtl w:val="0"/>
        </w:rPr>
        <w:t xml:space="preserve">- Leg ook uit hoe dit wordt getemperd én geherwaardeerd in zowel wetgeving als rechtspraak</w:t>
      </w:r>
    </w:p>
    <w:p w:rsidR="00000000" w:rsidDel="00000000" w:rsidP="00000000" w:rsidRDefault="00000000" w:rsidRPr="00000000" w14:paraId="00000026">
      <w:pPr>
        <w:spacing w:after="240" w:before="240" w:lineRule="auto"/>
        <w:rPr>
          <w:color w:val="38761d"/>
        </w:rPr>
      </w:pPr>
      <w:r w:rsidDel="00000000" w:rsidR="00000000" w:rsidRPr="00000000">
        <w:rPr>
          <w:color w:val="38761d"/>
          <w:rtl w:val="0"/>
        </w:rPr>
        <w:t xml:space="preserve">Het legaliteitsbeginsel, verankerd in artikel 1 lid 3 WPA, vormt het fundament van het politierecht en houdt in dat de politie bij dwangmaatregelen  elke inmenging in grondrechten zoals vrijheid of privacy uitsluitend mag optreden binnen de strikte voorwaarden die de wet bepaalt: voor de politie geldt de prohibitieve regel ("wat niet uitdrukkelijk in de wet staat, is verboden"), in tegenstelling tot de permissieve regel die voor gewone burgers geldt. In de praktijk werd dit beginsel lange tijd uitgehold via twee wegen: enerzijds gebruikte de wetgever vage begrippen zoals "redelijke gronden" (art. 29 en 34 WPA) die de rechtspraak zo soepel invulde dat zenuwachtig gedrag of weglopen al volstond als legitimatie voor een dwangmaatregel, anderzijds sloot de Antigoon-leer (art. 32 V.T.Sv.) onrechtmatig verkregen bewijs zelden uit zolang de betrouwbaarheid ervan of de eerlijkheid van het proces niet in het gedrang kwam wat Henri Berkmoes ertoe bracht de WPA te omschrijven als een "vergeten groente". De laatste jaren zien we echter een duidelijke herwaardering: de wetgever voegde gedetailleerde kaders toe voor ingrijpende bevoegdheden zoals de naaktfouille (art. 28 §5 WPA), handboeien bij minderjarigen (art. 37ter WPA) en cameragebruik (art. 44/1 e.v. WPA), terwijl het Hof van Cassatie nu eist dat de politie in het PV exact motiveert op basis van welke objectieve elementen zij een dwangmaatregel stelde, waarbij een loutere vermelding "politioneel gekend" niet langer volstaat. De belangrijkste evolutie is de verstrengde Antigoon-toets sinds 2022/2023: wanneer de politie het legaliteitsbeginsel opzettelijk of onverschoonbaar schendt, levert dit een schending op van art. 8 EVRM en tast het het recht op een eerlijk proces (art. 6 EVRM) onherstelbaar aan, wat onvermijdelijk tot bewijsuitsluiting leidt en de politie zo dwingt zich opnieuw strikt aan het wettelijk kader te houden.</w:t>
      </w:r>
    </w:p>
    <w:p w:rsidR="00000000" w:rsidDel="00000000" w:rsidP="00000000" w:rsidRDefault="00000000" w:rsidRPr="00000000" w14:paraId="00000027">
      <w:pPr>
        <w:ind w:left="0" w:firstLine="0"/>
        <w:rPr>
          <w:color w:val="38761d"/>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b w:val="1"/>
          <w:bCs w:val="1"/>
        </w:rPr>
      </w:pPr>
      <w:r w:rsidDel="00000000" w:rsidR="00000000" w:rsidRPr="00000000">
        <w:rPr>
          <w:b w:val="1"/>
          <w:bCs w:val="1"/>
          <w:rtl w:val="0"/>
        </w:rPr>
        <w:t xml:space="preserve">CASUS: Cafe alé is al gekend voor vechtpartijen enzo en gaat een feestje houden. Uit de brochure wordt afgeleid dat het enkel voor vaste klanten is. De politie betreedt de plaats in burger nadat de bewakers hen hebben binnengelaten omdat ze niet doorhadden dat het de politie was. Wanneer ze daar zijn zien ze dat een persoon drugs uit zijn zak haalt en zegt ‘dit gaat nog leuk worden’ en vervolgens terug in zijn broekzak steekt. De politie gaat over tot fouille en vindt XTC in zijn zak. Na identiteitscontrole blijkt het om Gert Janssens te gaan. Ze nemen hem mee naar politiekantoor en arresteren hem omwille van inbreuk op de drugswetgeving</w:t>
      </w:r>
    </w:p>
    <w:p w:rsidR="00000000" w:rsidDel="00000000" w:rsidP="00000000" w:rsidRDefault="00000000" w:rsidRPr="00000000" w14:paraId="0000002A">
      <w:pPr>
        <w:ind w:left="0" w:firstLine="0"/>
        <w:rPr>
          <w:b w:val="1"/>
          <w:bCs w:val="1"/>
        </w:rPr>
      </w:pPr>
      <w:r w:rsidDel="00000000" w:rsidR="00000000" w:rsidRPr="00000000">
        <w:rPr>
          <w:rtl w:val="0"/>
        </w:rPr>
      </w:r>
    </w:p>
    <w:p w:rsidR="00000000" w:rsidDel="00000000" w:rsidP="00000000" w:rsidRDefault="00000000" w:rsidRPr="00000000" w14:paraId="0000002B">
      <w:pPr>
        <w:ind w:left="0" w:firstLine="0"/>
        <w:rPr>
          <w:color w:val="ff9900"/>
        </w:rPr>
      </w:pPr>
      <w:r w:rsidDel="00000000" w:rsidR="00000000" w:rsidRPr="00000000">
        <w:rPr>
          <w:b w:val="1"/>
          <w:bCs w:val="1"/>
          <w:rtl w:val="0"/>
        </w:rPr>
        <w:t xml:space="preserve">- hoelang mag hij van zijn vrijheid worden beroofd?</w:t>
      </w:r>
      <w:r w:rsidDel="00000000" w:rsidR="00000000" w:rsidRPr="00000000">
        <w:rPr>
          <w:rtl w:val="0"/>
        </w:rPr>
        <w:t xml:space="preserve"> </w:t>
      </w:r>
      <w:r w:rsidDel="00000000" w:rsidR="00000000" w:rsidRPr="00000000">
        <w:rPr>
          <w:color w:val="ff0000"/>
          <w:rtl w:val="0"/>
        </w:rPr>
        <w:t xml:space="preserve">Ik had 48u (gerechtelijke arrestatie want op heterdaad betrapt)</w:t>
      </w:r>
      <w:r w:rsidDel="00000000" w:rsidR="00000000" w:rsidRPr="00000000">
        <w:rPr>
          <w:color w:val="ff9900"/>
          <w:rtl w:val="0"/>
        </w:rPr>
        <w:t xml:space="preserve">, ik ook</w:t>
      </w:r>
    </w:p>
    <w:p w:rsidR="00000000" w:rsidDel="00000000" w:rsidP="00000000" w:rsidRDefault="00000000" w:rsidRPr="00000000" w14:paraId="0000002C">
      <w:pPr>
        <w:ind w:left="0" w:firstLine="0"/>
        <w:rPr>
          <w:color w:val="ff0000"/>
        </w:rPr>
      </w:pPr>
      <w:r w:rsidDel="00000000" w:rsidR="00000000" w:rsidRPr="00000000">
        <w:rPr>
          <w:color w:val="ff0000"/>
          <w:rtl w:val="0"/>
        </w:rPr>
        <w:t xml:space="preserve">Ik had bestuurlijk want het doel van de lokale politie was bestuurlijk daaronder hoort het voorkomen van misdrijven en zo uitgelegd</w:t>
      </w:r>
    </w:p>
    <w:p w:rsidR="00000000" w:rsidDel="00000000" w:rsidP="00000000" w:rsidRDefault="00000000" w:rsidRPr="00000000" w14:paraId="0000002D">
      <w:pPr>
        <w:ind w:left="0" w:firstLine="0"/>
        <w:rPr>
          <w:color w:val="00ff00"/>
        </w:rPr>
      </w:pPr>
      <w:r w:rsidDel="00000000" w:rsidR="00000000" w:rsidRPr="00000000">
        <w:rPr>
          <w:color w:val="00ff00"/>
          <w:rtl w:val="0"/>
        </w:rPr>
        <w:t xml:space="preserve">ik had 60u omdat die eerst bestuurlijk (nog niet zeker of het XTC is, obv zijn gedragingen) en dan nog gerechtelijk obv heterdaad (wel degelijk XTC) </w:t>
      </w:r>
    </w:p>
    <w:p w:rsidR="00000000" w:rsidDel="00000000" w:rsidP="00000000" w:rsidRDefault="00000000" w:rsidRPr="00000000" w14:paraId="0000002E">
      <w:pPr>
        <w:ind w:left="0" w:firstLine="0"/>
        <w:rPr>
          <w:color w:val="9900ff"/>
        </w:rPr>
      </w:pPr>
      <w:r w:rsidDel="00000000" w:rsidR="00000000" w:rsidRPr="00000000">
        <w:rPr>
          <w:color w:val="1155cc"/>
          <w:rtl w:val="0"/>
        </w:rPr>
        <w:t xml:space="preserve">Gert Janssens werd op heterdaad betrapt (art. 41 Sv.) op een drugsinbreuk, waardoor de politie hem gerechtelijk kon arresteren voor maximaal 48 uur (art. 12 GW), waarbij de termijn al begon te lopen op het moment van de feitelijke vrijheidsberoving in het café en niet pas bij aankomst op het bureau (art. 1 WVH). Toch moet de rechtmatigheid van de volledige interventie in vraag worden gesteld: het feestje "enkel voor vaste klanten" kwalificeert de locatie als een private plaats, waardoor de autonome betredingsbevoegdheid van art. 26 WPA hier niet van toepassing was en de politie zonder huiszoekingsbevel onrechtmatig is binnengedrongen.( laatste had ik dan bij andere vraag) </w:t>
      </w:r>
      <w:r w:rsidDel="00000000" w:rsidR="00000000" w:rsidRPr="00000000">
        <w:rPr>
          <w:rFonts w:ascii="Arial Unicode MS" w:cs="Arial Unicode MS" w:eastAsia="Arial Unicode MS" w:hAnsi="Arial Unicode MS"/>
          <w:color w:val="9900ff"/>
          <w:rtl w:val="0"/>
        </w:rPr>
        <w:t xml:space="preserve">→ de exclusieve toegang werd niet gehandhaafd gezien ze zomaar binnen konden, daarom lijkt mij dit wel een publiek toegankelijke plaats</w:t>
      </w:r>
    </w:p>
    <w:p w:rsidR="00000000" w:rsidDel="00000000" w:rsidP="00000000" w:rsidRDefault="00000000" w:rsidRPr="00000000" w14:paraId="0000002F">
      <w:pPr>
        <w:ind w:left="0" w:firstLine="0"/>
        <w:rPr>
          <w:color w:val="1155cc"/>
        </w:rPr>
      </w:pPr>
      <w:r w:rsidDel="00000000" w:rsidR="00000000" w:rsidRPr="00000000">
        <w:rPr>
          <w:rtl w:val="0"/>
        </w:rPr>
      </w:r>
    </w:p>
    <w:p w:rsidR="00000000" w:rsidDel="00000000" w:rsidP="00000000" w:rsidRDefault="00000000" w:rsidRPr="00000000" w14:paraId="00000030">
      <w:pPr>
        <w:ind w:left="0" w:firstLine="0"/>
        <w:rPr>
          <w:color w:val="ff00ff"/>
        </w:rPr>
      </w:pPr>
      <w:r w:rsidDel="00000000" w:rsidR="00000000" w:rsidRPr="00000000">
        <w:rPr>
          <w:b w:val="1"/>
          <w:bCs w:val="1"/>
          <w:rtl w:val="0"/>
        </w:rPr>
        <w:t xml:space="preserve">- mocht de politie overgaan tot fouille</w:t>
      </w:r>
      <w:r w:rsidDel="00000000" w:rsidR="00000000" w:rsidRPr="00000000">
        <w:rPr>
          <w:rtl w:val="0"/>
        </w:rPr>
        <w:t xml:space="preserve">? </w:t>
      </w:r>
      <w:r w:rsidDel="00000000" w:rsidR="00000000" w:rsidRPr="00000000">
        <w:rPr>
          <w:color w:val="ff0000"/>
          <w:rtl w:val="0"/>
        </w:rPr>
        <w:t xml:space="preserve">Ja, omdat hij deel uitmaakte van een gerechtelijke arrestatie </w:t>
      </w:r>
      <w:r w:rsidDel="00000000" w:rsidR="00000000" w:rsidRPr="00000000">
        <w:rPr>
          <w:color w:val="ffff00"/>
          <w:rtl w:val="0"/>
        </w:rPr>
        <w:t xml:space="preserve">ik ook</w:t>
      </w:r>
      <w:r w:rsidDel="00000000" w:rsidR="00000000" w:rsidRPr="00000000">
        <w:rPr>
          <w:color w:val="ff0000"/>
          <w:rtl w:val="0"/>
        </w:rPr>
        <w:t xml:space="preserve"> </w:t>
      </w:r>
      <w:r w:rsidDel="00000000" w:rsidR="00000000" w:rsidRPr="00000000">
        <w:rPr>
          <w:color w:val="00ff00"/>
          <w:rtl w:val="0"/>
        </w:rPr>
        <w:t xml:space="preserve">ik ook </w:t>
      </w:r>
      <w:r w:rsidDel="00000000" w:rsidR="00000000" w:rsidRPr="00000000">
        <w:rPr>
          <w:color w:val="ff00ff"/>
          <w:rtl w:val="0"/>
        </w:rPr>
        <w:t xml:space="preserve">ik dacht veiligheidsfouille, omdat ze hem eerst hebben gefouilleerd en dan pas gerechtelijk hebben gearresteerd</w:t>
      </w:r>
    </w:p>
    <w:p w:rsidR="00000000" w:rsidDel="00000000" w:rsidP="00000000" w:rsidRDefault="00000000" w:rsidRPr="00000000" w14:paraId="00000031">
      <w:pPr>
        <w:spacing w:after="240" w:before="240" w:lineRule="auto"/>
        <w:rPr>
          <w:color w:val="1155cc"/>
        </w:rPr>
      </w:pPr>
      <w:r w:rsidDel="00000000" w:rsidR="00000000" w:rsidRPr="00000000">
        <w:rPr>
          <w:color w:val="1155cc"/>
          <w:rtl w:val="0"/>
        </w:rPr>
        <w:t xml:space="preserve">Om de fouille correct te beoordelen moet een onderscheid gemaakt worden tussen de fouille zelf en de voorafgaande onrechtmatige betreding: zuiver theoretisch waren de voorwaarden van art. 28 §2 WPA vervuld, want de agenten zagen Gert Janssens effectief drugs uithalen, wat de vereiste objectieve aanwijzing oplevert voor een gerechtelijke fouillering. </w:t>
      </w:r>
    </w:p>
    <w:p w:rsidR="00000000" w:rsidDel="00000000" w:rsidP="00000000" w:rsidRDefault="00000000" w:rsidRPr="00000000" w14:paraId="00000032">
      <w:pPr>
        <w:ind w:left="0" w:firstLine="0"/>
        <w:rPr>
          <w:color w:val="ff0000"/>
        </w:rPr>
      </w:pPr>
      <w:r w:rsidDel="00000000" w:rsidR="00000000" w:rsidRPr="00000000">
        <w:rPr>
          <w:rtl w:val="0"/>
        </w:rPr>
      </w:r>
    </w:p>
    <w:p w:rsidR="00000000" w:rsidDel="00000000" w:rsidP="00000000" w:rsidRDefault="00000000" w:rsidRPr="00000000" w14:paraId="00000033">
      <w:pPr>
        <w:ind w:left="0" w:firstLine="0"/>
        <w:rPr>
          <w:b w:val="1"/>
          <w:bCs w:val="1"/>
        </w:rPr>
      </w:pPr>
      <w:r w:rsidDel="00000000" w:rsidR="00000000" w:rsidRPr="00000000">
        <w:rPr>
          <w:b w:val="1"/>
          <w:bCs w:val="1"/>
          <w:rtl w:val="0"/>
        </w:rPr>
        <w:t xml:space="preserve">Een paar dagen later ziet de politie een auto geparkeerd op de openbare weg staan. Ze komen erachter dat de auto geregistreerd staat op Tom Janssens en dus de vader van Gert. Ze doorzoeken de wagen en vinden nog XTC en een wapen. </w:t>
      </w:r>
    </w:p>
    <w:p w:rsidR="00000000" w:rsidDel="00000000" w:rsidP="00000000" w:rsidRDefault="00000000" w:rsidRPr="00000000" w14:paraId="00000034">
      <w:pPr>
        <w:ind w:left="0" w:firstLine="0"/>
        <w:rPr>
          <w:color w:val="0000ff"/>
        </w:rPr>
      </w:pPr>
      <w:r w:rsidDel="00000000" w:rsidR="00000000" w:rsidRPr="00000000">
        <w:rPr>
          <w:b w:val="1"/>
          <w:bCs w:val="1"/>
          <w:rtl w:val="0"/>
        </w:rPr>
        <w:t xml:space="preserve">- mocht de politie de wagen doorzoeken?</w:t>
      </w:r>
      <w:r w:rsidDel="00000000" w:rsidR="00000000" w:rsidRPr="00000000">
        <w:rPr>
          <w:rtl w:val="0"/>
        </w:rPr>
        <w:t xml:space="preserve"> </w:t>
      </w:r>
      <w:r w:rsidDel="00000000" w:rsidR="00000000" w:rsidRPr="00000000">
        <w:rPr>
          <w:color w:val="ff0000"/>
          <w:rtl w:val="0"/>
        </w:rPr>
        <w:t xml:space="preserve">Ik had geschreven van niet, vooral omdat de wagen van de vader van Gert was en niet voldeed aan de criteria? </w:t>
      </w:r>
      <w:r w:rsidDel="00000000" w:rsidR="00000000" w:rsidRPr="00000000">
        <w:rPr>
          <w:color w:val="00ff00"/>
          <w:rtl w:val="0"/>
        </w:rPr>
        <w:t xml:space="preserve">ik ook </w:t>
      </w:r>
      <w:r w:rsidDel="00000000" w:rsidR="00000000" w:rsidRPr="00000000">
        <w:rPr>
          <w:color w:val="ffff00"/>
          <w:rtl w:val="0"/>
        </w:rPr>
        <w:t xml:space="preserve">ik ook ik ook </w:t>
      </w:r>
      <w:r w:rsidDel="00000000" w:rsidR="00000000" w:rsidRPr="00000000">
        <w:rPr>
          <w:color w:val="9900ff"/>
          <w:rtl w:val="0"/>
        </w:rPr>
        <w:t xml:space="preserve">ik had dat het wel mocht omdat ze die zoon ja hadden betrapt met dealen en dat dan een redelijke grond kon zijn dat die auto gebruikt werd om die drugs te vervoeren maar ik was niet zeker </w:t>
      </w:r>
      <w:r w:rsidDel="00000000" w:rsidR="00000000" w:rsidRPr="00000000">
        <w:rPr>
          <w:color w:val="980000"/>
          <w:rtl w:val="0"/>
        </w:rPr>
        <w:t xml:space="preserve">ik ook</w:t>
      </w:r>
      <w:r w:rsidDel="00000000" w:rsidR="00000000" w:rsidRPr="00000000">
        <w:rPr>
          <w:color w:val="00ff00"/>
          <w:rtl w:val="0"/>
        </w:rPr>
        <w:t xml:space="preserve"> ik ook, </w:t>
      </w:r>
      <w:r w:rsidDel="00000000" w:rsidR="00000000" w:rsidRPr="00000000">
        <w:rPr>
          <w:color w:val="0000ff"/>
          <w:rtl w:val="0"/>
        </w:rPr>
        <w:t xml:space="preserve">ik ook</w:t>
      </w:r>
    </w:p>
    <w:p w:rsidR="00000000" w:rsidDel="00000000" w:rsidP="00000000" w:rsidRDefault="00000000" w:rsidRPr="00000000" w14:paraId="00000035">
      <w:pPr>
        <w:spacing w:after="240" w:before="240" w:lineRule="auto"/>
        <w:rPr>
          <w:color w:val="1155cc"/>
        </w:rPr>
      </w:pPr>
      <w:r w:rsidDel="00000000" w:rsidR="00000000" w:rsidRPr="00000000">
        <w:rPr>
          <w:color w:val="1155cc"/>
          <w:rtl w:val="0"/>
        </w:rPr>
        <w:t xml:space="preserve">De politie mocht de wagen doorzoeken omdat de materiële voorwaarden van art. 29 WPA niet vervuld zijn: hoewel aan de locatievoorwaarde voldaan was (geparkeerd op openbare weg) en dan iets van dat die op dat uur langs oude markt staat is toevallig en misschien vreemde plek dan en aangezien zij dan die achternaam herkende ofz </w:t>
      </w:r>
    </w:p>
    <w:p w:rsidR="00000000" w:rsidDel="00000000" w:rsidP="00000000" w:rsidRDefault="00000000" w:rsidRPr="00000000" w14:paraId="00000036">
      <w:pPr>
        <w:ind w:left="0" w:firstLine="0"/>
        <w:rPr>
          <w:color w:val="00ff00"/>
        </w:rPr>
      </w:pPr>
      <w:r w:rsidDel="00000000" w:rsidR="00000000" w:rsidRPr="00000000">
        <w:rPr>
          <w:rtl w:val="0"/>
        </w:rPr>
      </w:r>
    </w:p>
    <w:p w:rsidR="00000000" w:rsidDel="00000000" w:rsidP="00000000" w:rsidRDefault="00000000" w:rsidRPr="00000000" w14:paraId="00000037">
      <w:pPr>
        <w:ind w:left="0" w:firstLine="0"/>
        <w:rPr>
          <w:color w:val="00ff00"/>
        </w:rPr>
      </w:pPr>
      <w:r w:rsidDel="00000000" w:rsidR="00000000" w:rsidRPr="00000000">
        <w:rPr>
          <w:rtl w:val="0"/>
        </w:rPr>
      </w:r>
    </w:p>
    <w:p w:rsidR="00000000" w:rsidDel="00000000" w:rsidP="00000000" w:rsidRDefault="00000000" w:rsidRPr="00000000" w14:paraId="00000038">
      <w:pPr>
        <w:ind w:left="0" w:firstLine="0"/>
        <w:rPr/>
      </w:pPr>
      <w:r w:rsidDel="00000000" w:rsidR="00000000" w:rsidRPr="00000000">
        <w:rPr>
          <w:rtl w:val="0"/>
        </w:rPr>
        <w:t xml:space="preserve">De politie is tijdens het feeste ook aan het patrouilleren in de zijstraten en zien een vrouw, duidelijk dronken, op straat wandelen. Ze verhindert het verkeer. De politie benadert haar rustig en vragen om haar identiteit, maar ze weigert en wordt agressief. De politie neemt haar mee naar het politiekantoor onder dwang.</w:t>
      </w:r>
    </w:p>
    <w:p w:rsidR="00000000" w:rsidDel="00000000" w:rsidP="00000000" w:rsidRDefault="00000000" w:rsidRPr="00000000" w14:paraId="00000039">
      <w:pPr>
        <w:ind w:left="0" w:firstLine="0"/>
        <w:rPr>
          <w:color w:val="00ff00"/>
        </w:rPr>
      </w:pPr>
      <w:r w:rsidDel="00000000" w:rsidR="00000000" w:rsidRPr="00000000">
        <w:rPr>
          <w:rtl w:val="0"/>
        </w:rPr>
        <w:t xml:space="preserve">- was de dwang rechtmatig? </w:t>
      </w:r>
      <w:r w:rsidDel="00000000" w:rsidR="00000000" w:rsidRPr="00000000">
        <w:rPr>
          <w:color w:val="ff0000"/>
          <w:rtl w:val="0"/>
        </w:rPr>
        <w:t xml:space="preserve">Ja, omdat ze het verkeer verhindert </w:t>
      </w:r>
      <w:r w:rsidDel="00000000" w:rsidR="00000000" w:rsidRPr="00000000">
        <w:rPr>
          <w:color w:val="ffff00"/>
          <w:rtl w:val="0"/>
        </w:rPr>
        <w:t xml:space="preserve">ik ook en ook onveilig voor de vrouw zelf </w:t>
      </w:r>
      <w:r w:rsidDel="00000000" w:rsidR="00000000" w:rsidRPr="00000000">
        <w:rPr>
          <w:color w:val="00ff00"/>
          <w:rtl w:val="0"/>
        </w:rPr>
        <w:t xml:space="preserve">ja</w:t>
      </w:r>
    </w:p>
    <w:p w:rsidR="00000000" w:rsidDel="00000000" w:rsidP="00000000" w:rsidRDefault="00000000" w:rsidRPr="00000000" w14:paraId="0000003A">
      <w:pPr>
        <w:ind w:left="0" w:firstLine="0"/>
        <w:rPr>
          <w:color w:val="1155cc"/>
        </w:rPr>
      </w:pPr>
      <w:r w:rsidDel="00000000" w:rsidR="00000000" w:rsidRPr="00000000">
        <w:rPr>
          <w:color w:val="1155cc"/>
          <w:rtl w:val="0"/>
        </w:rPr>
        <w:t xml:space="preserve">Ik had: Het gebruik van dwang was volledig rechtmatig: de politie stelde een inbreuk vast (openbare dronkenschap + verhindering verkeer) en was op grond van art. 34 §1 WPA bevoegd tot een reactieve identiteitscontrole, waarna de weigering van de vrouw art. 34 §4 WPA activeerde en vrijheidsberoving ter identificatie (max. 12u) rechtvaardigde. Haar agressie en voortdurende ordeverstoring leveren bovendien een zelfstandige grond op voor bestuurlijke arrestatie op grond van art. 31 1° en 2° WPA wegens volstrekte noodzaak. Omdat de vreedzame benadering mislukte, waren de subsidiariteits- en proportionaliteitsvoorwaarden van art. 37 WPA vervuld en mocht fysieke dwang worden aangewend, mits voorafgaande waarschuwing. </w:t>
      </w:r>
    </w:p>
    <w:p w:rsidR="00000000" w:rsidDel="00000000" w:rsidP="00000000" w:rsidRDefault="00000000" w:rsidRPr="00000000" w14:paraId="0000003B">
      <w:pPr>
        <w:numPr>
          <w:ilvl w:val="0"/>
          <w:numId w:val="1"/>
        </w:numPr>
        <w:ind w:left="720" w:hanging="360"/>
        <w:rPr>
          <w:color w:val="1155cc"/>
          <w:u w:val="none"/>
        </w:rPr>
      </w:pPr>
      <w:r w:rsidDel="00000000" w:rsidR="00000000" w:rsidRPr="00000000">
        <w:rPr>
          <w:color w:val="1155cc"/>
          <w:rtl w:val="0"/>
        </w:rPr>
        <w:t xml:space="preserve">niet in de cel!! wel op kantoor gehouden worden voor die controle op zich</w:t>
      </w:r>
    </w:p>
    <w:p w:rsidR="00000000" w:rsidDel="00000000" w:rsidP="00000000" w:rsidRDefault="00000000" w:rsidRPr="00000000" w14:paraId="0000003C">
      <w:pPr>
        <w:ind w:left="0" w:firstLine="0"/>
        <w:rPr>
          <w:color w:val="00ff00"/>
        </w:rPr>
      </w:pPr>
      <w:r w:rsidDel="00000000" w:rsidR="00000000" w:rsidRPr="00000000">
        <w:rPr>
          <w:rtl w:val="0"/>
        </w:rPr>
      </w:r>
    </w:p>
    <w:p w:rsidR="00000000" w:rsidDel="00000000" w:rsidP="00000000" w:rsidRDefault="00000000" w:rsidRPr="00000000" w14:paraId="0000003D">
      <w:pPr>
        <w:ind w:left="0" w:firstLine="0"/>
        <w:rPr>
          <w:b w:val="1"/>
          <w:bCs w:val="1"/>
        </w:rPr>
      </w:pPr>
      <w:r w:rsidDel="00000000" w:rsidR="00000000" w:rsidRPr="00000000">
        <w:rPr>
          <w:b w:val="1"/>
          <w:bCs w:val="1"/>
          <w:rtl w:val="0"/>
        </w:rPr>
        <w:t xml:space="preserve">Motiveer de stelling</w:t>
      </w:r>
    </w:p>
    <w:p w:rsidR="00000000" w:rsidDel="00000000" w:rsidP="00000000" w:rsidRDefault="00000000" w:rsidRPr="00000000" w14:paraId="0000003E">
      <w:pPr>
        <w:ind w:left="0" w:firstLine="0"/>
        <w:jc w:val="both"/>
        <w:rPr>
          <w:color w:val="00ff00"/>
        </w:rPr>
      </w:pPr>
      <w:r w:rsidDel="00000000" w:rsidR="00000000" w:rsidRPr="00000000">
        <w:rPr>
          <w:b w:val="1"/>
          <w:bCs w:val="1"/>
          <w:rtl w:val="0"/>
        </w:rPr>
        <w:t xml:space="preserve">- de politie mocht het cafe niet binnen omdat het een privé feestje was</w:t>
      </w:r>
      <w:r w:rsidDel="00000000" w:rsidR="00000000" w:rsidRPr="00000000">
        <w:rPr>
          <w:rtl w:val="0"/>
        </w:rPr>
        <w:t xml:space="preserve"> </w:t>
      </w:r>
      <w:r w:rsidDel="00000000" w:rsidR="00000000" w:rsidRPr="00000000">
        <w:rPr>
          <w:color w:val="ff0000"/>
          <w:rtl w:val="0"/>
        </w:rPr>
        <w:t xml:space="preserve">Heb gezegd dat de politie eig wel binnen mocht omdat ze werden binnengelaten door de portiers wat dus eig overeenstemt met toestemming </w:t>
      </w:r>
      <w:r w:rsidDel="00000000" w:rsidR="00000000" w:rsidRPr="00000000">
        <w:rPr>
          <w:color w:val="ffff00"/>
          <w:rtl w:val="0"/>
        </w:rPr>
        <w:t xml:space="preserve">ik ook omdat het een publiek toegankelijke locatie is waar ze door portiers worden binnengelaten </w:t>
      </w:r>
      <w:r w:rsidDel="00000000" w:rsidR="00000000" w:rsidRPr="00000000">
        <w:rPr>
          <w:color w:val="00ff00"/>
          <w:rtl w:val="0"/>
        </w:rPr>
        <w:t xml:space="preserve">idd </w:t>
      </w:r>
    </w:p>
    <w:p w:rsidR="00000000" w:rsidDel="00000000" w:rsidP="00000000" w:rsidRDefault="00000000" w:rsidRPr="00000000" w14:paraId="0000003F">
      <w:pPr>
        <w:ind w:left="0" w:firstLine="0"/>
        <w:jc w:val="both"/>
        <w:rPr>
          <w:color w:val="e06666"/>
        </w:rPr>
      </w:pPr>
      <w:r w:rsidDel="00000000" w:rsidR="00000000" w:rsidRPr="00000000">
        <w:rPr>
          <w:color w:val="ff00ff"/>
          <w:rtl w:val="0"/>
        </w:rPr>
        <w:t xml:space="preserve">ik heb van niet, omdat het geen publiek toegankelijke plaats was, en ze dan enkel binnen mochten met toestemming van diegene die genot heeft, maar aan die portiers hun kennisgeving is een gebrek omdat de politie hun niet kenbaar hebben gemaakt. De toestemming kan enkel rechtmatig zijn als diegene die toestemming geeft, weet dat het politie is. </w:t>
      </w:r>
      <w:r w:rsidDel="00000000" w:rsidR="00000000" w:rsidRPr="00000000">
        <w:rPr>
          <w:color w:val="1155cc"/>
          <w:rtl w:val="0"/>
        </w:rPr>
        <w:t xml:space="preserve">Ik had ook niet omdat het niet toegankelijk was voor iedereen owv prive feest en de poster dit bevestigde en dat de portiers niet de personen zijn met het werkelijk genot om toestemming te geven! </w:t>
      </w:r>
      <w:r w:rsidDel="00000000" w:rsidR="00000000" w:rsidRPr="00000000">
        <w:rPr>
          <w:color w:val="e06666"/>
          <w:rtl w:val="0"/>
        </w:rPr>
        <w:t xml:space="preserve">De stelling klopt, aangezien een café waar uitsluitend vaste klanten worden toegelaten een persoonsgebonden selectie hanteert, waardoor de locatie juridisch kwalificeert als een private plaats en de autonome politionele betredingsbevoegdheid voor publiek toegankelijke plaatsen uit artikel 26 van de Wet op het Politieambt (WPA) hier bijgevolg niet van toepassing is. Om een dergelijke private plaats rechtmatig te mogen betreden, vereist de wet dat er minstens sprake is van een voorafgaandelijke en ondubbelzinnige toestemming van de persoon met het werkelijk genot, een machtiging van de onderzoeksrechter, of een ontdekking op heterdaad conform artikel 41 van het Wetboek van Strafvordering (Sv.). Het louter binnenlaten van agenten in burgerkledij door bewakers die hun ware identiteit niet kenden, geldt juridisch absoluut niet als een geïnformeerde en geldige toestemming. Zonder het vervullen van deze strikte voorwaarden handelde de politie buiten haar wettelijke bevoegdheden en betreft dit een onrechtmatige betreding die een rechtstreekse schending inhoudt van de onschendbaarheid van de woning en private ruimten, verankerd in artikel 15 van de Grondwet en artikel 8 EVRM.</w:t>
      </w:r>
    </w:p>
    <w:p w:rsidR="00000000" w:rsidDel="00000000" w:rsidP="00000000" w:rsidRDefault="00000000" w:rsidRPr="00000000" w14:paraId="00000040">
      <w:pPr>
        <w:ind w:left="0" w:firstLine="0"/>
        <w:rPr>
          <w:color w:val="1155cc"/>
        </w:rPr>
      </w:pPr>
      <w:r w:rsidDel="00000000" w:rsidR="00000000" w:rsidRPr="00000000">
        <w:rPr>
          <w:color w:val="1155cc"/>
          <w:rtl w:val="0"/>
        </w:rPr>
        <w:t xml:space="preserve">ik had niet zozeer dat ze toestemming gekregen hadden, maar dat het ‘enkel op uitnodiging’-karakter voor vaste klanten gewoonweg niet gehandhaafd werd en daarom dus in feite publiek toegankelijk is.</w:t>
      </w:r>
    </w:p>
    <w:p w:rsidR="00000000" w:rsidDel="00000000" w:rsidP="00000000" w:rsidRDefault="00000000" w:rsidRPr="00000000" w14:paraId="00000041">
      <w:pPr>
        <w:ind w:left="0" w:firstLine="0"/>
        <w:rPr>
          <w:color w:val="1155cc"/>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r>
    </w:p>
    <w:p w:rsidR="00000000" w:rsidDel="00000000" w:rsidP="00000000" w:rsidRDefault="00000000" w:rsidRPr="00000000" w14:paraId="00000043">
      <w:pPr>
        <w:ind w:left="0" w:firstLine="0"/>
        <w:rPr>
          <w:b w:val="1"/>
          <w:bCs w:val="1"/>
        </w:rPr>
      </w:pPr>
      <w:r w:rsidDel="00000000" w:rsidR="00000000" w:rsidRPr="00000000">
        <w:rPr>
          <w:rtl w:val="0"/>
        </w:rPr>
      </w:r>
    </w:p>
    <w:p w:rsidR="00000000" w:rsidDel="00000000" w:rsidP="00000000" w:rsidRDefault="00000000" w:rsidRPr="00000000" w14:paraId="00000044">
      <w:pPr>
        <w:ind w:left="0" w:firstLine="0"/>
        <w:rPr>
          <w:b w:val="1"/>
          <w:bCs w:val="1"/>
        </w:rPr>
      </w:pPr>
      <w:r w:rsidDel="00000000" w:rsidR="00000000" w:rsidRPr="00000000">
        <w:rPr>
          <w:b w:val="1"/>
          <w:bCs w:val="1"/>
          <w:rtl w:val="0"/>
        </w:rPr>
        <w:t xml:space="preserve">Ook nog vraag over legaliteitsbeginsel? </w:t>
      </w:r>
    </w:p>
    <w:p w:rsidR="00000000" w:rsidDel="00000000" w:rsidP="00000000" w:rsidRDefault="00000000" w:rsidRPr="00000000" w14:paraId="00000045">
      <w:pPr>
        <w:ind w:left="0" w:firstLine="0"/>
        <w:rPr>
          <w:b w:val="1"/>
          <w:bCs w:val="1"/>
        </w:rPr>
      </w:pPr>
      <w:r w:rsidDel="00000000" w:rsidR="00000000" w:rsidRPr="00000000">
        <w:rPr>
          <w:rFonts w:ascii="Arial Unicode MS" w:cs="Arial Unicode MS" w:eastAsia="Arial Unicode MS" w:hAnsi="Arial Unicode MS"/>
          <w:b w:val="1"/>
          <w:bCs w:val="1"/>
          <w:rtl w:val="0"/>
        </w:rPr>
        <w:t xml:space="preserve">⇒ wat is het legaliteitsbeginsel, leg ook iets van prohibitief en permissief uit + hoe dit in de rechtspraak ten onder is gegaan of ja buh idk de stelling maar dat er niet naar werd gekeken en daarna weer sterkte gewonnen heeft i de rechtspraak voorbeeld geven dus en uitleggen (kon anders geformuleerd zijn, als iemand nog weet hoe?)</w:t>
      </w:r>
    </w:p>
    <w:p w:rsidR="00000000" w:rsidDel="00000000" w:rsidP="00000000" w:rsidRDefault="00000000" w:rsidRPr="00000000" w14:paraId="00000046">
      <w:pPr>
        <w:ind w:left="0" w:firstLine="0"/>
        <w:rPr>
          <w:b w:val="1"/>
          <w:bCs w:val="1"/>
        </w:rPr>
      </w:pPr>
      <w:r w:rsidDel="00000000" w:rsidR="00000000" w:rsidRPr="00000000">
        <w:rPr>
          <w:rtl w:val="0"/>
        </w:rPr>
      </w:r>
    </w:p>
    <w:p w:rsidR="00000000" w:rsidDel="00000000" w:rsidP="00000000" w:rsidRDefault="00000000" w:rsidRPr="00000000" w14:paraId="00000047">
      <w:pPr>
        <w:ind w:left="0" w:firstLine="0"/>
        <w:rPr>
          <w:b w:val="1"/>
          <w:bCs w:val="1"/>
          <w:color w:val="1155cc"/>
        </w:rPr>
      </w:pPr>
      <w:r w:rsidDel="00000000" w:rsidR="00000000" w:rsidRPr="00000000">
        <w:rPr>
          <w:b w:val="1"/>
          <w:bCs w:val="1"/>
          <w:color w:val="1155cc"/>
          <w:rtl w:val="0"/>
        </w:rPr>
        <w:t xml:space="preserve">Ik had daar dit: </w:t>
      </w:r>
    </w:p>
    <w:p w:rsidR="00000000" w:rsidDel="00000000" w:rsidP="00000000" w:rsidRDefault="00000000" w:rsidRPr="00000000" w14:paraId="00000048">
      <w:pPr>
        <w:spacing w:after="240" w:before="240" w:lineRule="auto"/>
        <w:rPr>
          <w:color w:val="1155cc"/>
        </w:rPr>
      </w:pPr>
      <w:r w:rsidDel="00000000" w:rsidR="00000000" w:rsidRPr="00000000">
        <w:rPr>
          <w:color w:val="1155cc"/>
          <w:rtl w:val="0"/>
        </w:rPr>
        <w:t xml:space="preserve">Het legaliteitsbeginsel (art. 1 lid 3 WPA) houdt in dat de politie bij dwangmaatregelen — elke inmenging in grondrechten van de burger — enkel mag optreden binnen de strikte voorwaarden die de wet bepaalt: voor de politie geldt de prohibitieve regel ("wat niet in de wet staat, is niet toegelaten"), in tegenstelling tot de permissieve regel die voor gewone burgers geldt. In de praktijk werd dit beginsel lange tijd uitgehold via twee wegen: enerzijds vulde de rechtspraak vage wettelijke begrippen zoals "redelijke gronden" (art. 29 en 34 WPA) uiterst soepel in waardoor subjectief buikgevoel volstond, anderzijds sloot de Antigoon-leer (art. 32 V.T.Sv.) onrechtmatig verkregen bewijs zelden uit zolang de eerlijkheid van het proces niet in het gedrang kwam. De laatste jaren zien we echter een duidelijke herwaardering: de wetgever voegde steeds gedetailleerdere kaders toe voor ingrijpende bevoegdheden zoals de naaktfouille (art. 28 §5 WPA), handboeien bij minderjarigen (art. 37ter WPA) en cameragebruik. Het Hof van Cassatie eist bovendien dat de politie in het PV exact motiveert op basis van welke objectieve elementen zij een dwangmaatregel heeft gesteld, waarbij een loutere vermelding "politioneel gekend" niet langer volstaat. De belangrijkste evolutie is de verstrengde Antigoon-toets sinds 2023: wanneer de politie het legaliteitsbeginsel opzettelijk of op onverschoonbare wijze schendt, tast dit het recht op een eerlijk proces (art. 6 EVRM) onherstelbaar aan en leidt dit onvermijdelijk tot bewijsuitsluiting. Het legaliteitsbeginsel is zo geëvolueerd van een theoretisch ankerpunt dat in de praktijk weinig tanden had, naar een effectief afdwingbaar mechanisme dat de politie dwingt zich strikt aan het wettelijk kader te houden.</w:t>
      </w:r>
    </w:p>
    <w:p w:rsidR="00000000" w:rsidDel="00000000" w:rsidP="00000000" w:rsidRDefault="00000000" w:rsidRPr="00000000" w14:paraId="00000049">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