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Bespreek de verhouding tussen de korpschef, de procureur des konings, de bestuurlijk directeur coördinator en de burgemeester.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Geef de wettelijke regeling voor de samenloop van de bestuurlijke aanhouding (bestuurlijke arrestatie) en de gerechtelijke arrestatie.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parlementaire onderzoekscommissie naar aanleiding van de aanslagen op zaventem 2016, geef de aanbevelingen voor (a) de recherchecapaciteit van het federaal parket, (b)... ,(c) prioriteitenstelling (?) , (d) seponering van terrorisme zaken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Casus:</w:t>
      </w:r>
    </w:p>
    <w:p w:rsidR="00000000" w:rsidDel="00000000" w:rsidP="00000000" w:rsidRDefault="00000000" w:rsidRPr="00000000" w14:paraId="0000000B">
      <w:pPr>
        <w:rPr/>
      </w:pPr>
      <w:r w:rsidDel="00000000" w:rsidR="00000000" w:rsidRPr="00000000">
        <w:rPr>
          <w:rtl w:val="0"/>
        </w:rPr>
        <w:t xml:space="preserve">Man 1 loopt rond op straat in Antwerpen rond 23 uur ‘s nachts, roept in het rond dat hij zijn huis zal doen ontploffen. Een buur belt de politie op. De lokale politie stuurt een interventiekorps. De man zit ondertussen al terug binnen en heeft de deur gebarricadeerd. De politie treedt dan met geweld binnen. Eenmaal binnen doorzoeken ze het huis en vinden ze een grote cannabisplantage. De politie arresteert de man omdat hij de drugswet heeft overtreden.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Tijdens deze situatie komt er een andere man (2) aangelopen. De man is een gekende dief in de streek. Hij ziet de politie en loopt weg. De politie doet een identiteitscontrole en fouilleert de man. Het blijkt dat de man illegale wapens op zak had. Hij wordt aangehouden op grond van een inbreuk tegen de wapenwetgeving.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 politie verhoort de vrouw die het huis verhuurde aan man 1. De politie kon een aantal handige zaken uit de antwoorden van de vrouw halen om tegen man 1 te gebruiken. Er was geen voorafgaand overleg met een advocaat en er was geen advocaat aanwezig tijdens het verhoor.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De advocaat van Man 1 zegt dat de politie niet bevoegd was om het huis van Man 1 te doorzoeken. Evalueer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Was de arrestatie van Man 1 rechtmatig. Hoe lang zouden ze Man 1 mogen vasthouden</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Man 1 werd twee keer verhoord zonder voorafgaand vertrouwelijk overleg met een advocaat, is dit rechtmatig? Zoja, onder welke voorwaarden? Zonee, waarom niet?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De advocaat van Man 2 zegt dat de identiteitscontrole en fouillering bij man 2 onrechtmatig was en dat ze dit niet hadden mogen doen. Evalueer</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De advocaat van Man 1 zegt dat de verklaringen bekomen in het verhoor met de vrouw niet gebruikt mogen worden aangezien het verhoor niet rechtmatig was. Evalueer</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