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Jeugdcriminologie en jeugdbeschermingsrecht 24/08/2021</w:t>
      </w:r>
    </w:p>
    <w:p w:rsidR="00000000" w:rsidDel="00000000" w:rsidP="00000000" w:rsidRDefault="00000000" w:rsidRPr="00000000" w14:paraId="00000002">
      <w:pPr>
        <w:pageBreakBefore w:val="0"/>
        <w:rPr>
          <w:b w:val="1"/>
          <w:color w:val="ff000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Jeugdbeschermingsrecht </w:t>
      </w:r>
    </w:p>
    <w:p w:rsidR="00000000" w:rsidDel="00000000" w:rsidP="00000000" w:rsidRDefault="00000000" w:rsidRPr="00000000" w14:paraId="00000004">
      <w:pPr>
        <w:pageBreakBefore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2"/>
        </w:numPr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Leg begrippen uit: </w:t>
      </w:r>
    </w:p>
    <w:p w:rsidR="00000000" w:rsidDel="00000000" w:rsidP="00000000" w:rsidRDefault="00000000" w:rsidRPr="00000000" w14:paraId="00000006">
      <w:pPr>
        <w:pageBreakBefore w:val="0"/>
        <w:numPr>
          <w:ilvl w:val="1"/>
          <w:numId w:val="2"/>
        </w:numPr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General comment nr 24</w:t>
      </w:r>
    </w:p>
    <w:p w:rsidR="00000000" w:rsidDel="00000000" w:rsidP="00000000" w:rsidRDefault="00000000" w:rsidRPr="00000000" w14:paraId="00000007">
      <w:pPr>
        <w:pageBreakBefore w:val="0"/>
        <w:numPr>
          <w:ilvl w:val="1"/>
          <w:numId w:val="2"/>
        </w:numPr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Terbeschikkingstelling 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2"/>
        </w:numPr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Mila (14) en Leentje ofzo (10) hebben te maken met huiselijk geweld. </w:t>
      </w:r>
    </w:p>
    <w:p w:rsidR="00000000" w:rsidDel="00000000" w:rsidP="00000000" w:rsidRDefault="00000000" w:rsidRPr="00000000" w14:paraId="00000009">
      <w:pPr>
        <w:pageBreakBefore w:val="0"/>
        <w:numPr>
          <w:ilvl w:val="1"/>
          <w:numId w:val="2"/>
        </w:numPr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Kan het OM de zaak seponeren?</w:t>
      </w:r>
    </w:p>
    <w:p w:rsidR="00000000" w:rsidDel="00000000" w:rsidP="00000000" w:rsidRDefault="00000000" w:rsidRPr="00000000" w14:paraId="0000000A">
      <w:pPr>
        <w:pageBreakBefore w:val="0"/>
        <w:ind w:left="1440" w:firstLine="0"/>
        <w:rPr>
          <w:color w:val="4a86e8"/>
          <w:sz w:val="32"/>
          <w:szCs w:val="32"/>
        </w:rPr>
      </w:pPr>
      <w:r w:rsidDel="00000000" w:rsidR="00000000" w:rsidRPr="00000000">
        <w:rPr>
          <w:color w:val="ff0000"/>
          <w:sz w:val="32"/>
          <w:szCs w:val="32"/>
          <w:rtl w:val="0"/>
        </w:rPr>
        <w:t xml:space="preserve">Ik heb geschreven da als ze een positief project of seponeren onder voorwaarden opleggen, en het wordt goed gedaan, dat het dan wordt geseponeerd. Juist?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2"/>
        </w:numPr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Kan het OM naar de toegangspoort gaan?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2160" w:hanging="360"/>
        <w:rPr>
          <w:color w:val="ff0000"/>
          <w:sz w:val="32"/>
          <w:szCs w:val="32"/>
        </w:rPr>
      </w:pPr>
      <w:r w:rsidDel="00000000" w:rsidR="00000000" w:rsidRPr="00000000">
        <w:rPr>
          <w:color w:val="ff0000"/>
          <w:sz w:val="32"/>
          <w:szCs w:val="32"/>
          <w:rtl w:val="0"/>
        </w:rPr>
        <w:t xml:space="preserve">Ja om vrijwillige jeugdhulp bij niet rechtstreeks toegankelijke jeugdhulp aan te vragen?</w:t>
      </w:r>
    </w:p>
    <w:p w:rsidR="00000000" w:rsidDel="00000000" w:rsidP="00000000" w:rsidRDefault="00000000" w:rsidRPr="00000000" w14:paraId="0000000E">
      <w:pPr>
        <w:pageBreakBefore w:val="0"/>
        <w:numPr>
          <w:ilvl w:val="1"/>
          <w:numId w:val="2"/>
        </w:numPr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Hoe kan het OM naar de jeugdrechter gaan?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3"/>
        </w:numPr>
        <w:ind w:left="2160" w:hanging="360"/>
        <w:rPr>
          <w:color w:val="ff0000"/>
          <w:sz w:val="32"/>
          <w:szCs w:val="32"/>
        </w:rPr>
      </w:pPr>
      <w:r w:rsidDel="00000000" w:rsidR="00000000" w:rsidRPr="00000000">
        <w:rPr>
          <w:color w:val="ff0000"/>
          <w:sz w:val="32"/>
          <w:szCs w:val="32"/>
          <w:rtl w:val="0"/>
        </w:rPr>
        <w:t xml:space="preserve">Via de reguliere vorderingsgrond gezien het dossier via het OCJ naar het parket is gegaan?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2"/>
        </w:numPr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Waar moet de jeugdrechter en jeugdrechtbank rekening mee houden bij het nemen van de maatregelen/sancties?</w:t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2"/>
        </w:numPr>
        <w:ind w:left="1440" w:hanging="360"/>
        <w:rPr>
          <w:color w:val="ff0000"/>
          <w:sz w:val="32"/>
          <w:szCs w:val="32"/>
        </w:rPr>
      </w:pPr>
      <w:r w:rsidDel="00000000" w:rsidR="00000000" w:rsidRPr="00000000">
        <w:rPr>
          <w:color w:val="ff0000"/>
          <w:sz w:val="32"/>
          <w:szCs w:val="32"/>
          <w:rtl w:val="0"/>
        </w:rPr>
        <w:t xml:space="preserve">Leeftijden en art 16 jeugddelinquentiedecreet?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2"/>
        </w:numPr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Wie is er bevoegd voor de uitvoering van de voorlopige hechtenis/gevangenisstraf van uit handen gegeven jongeren? Federaal of gemeenschap? En leg uit.</w:t>
      </w:r>
    </w:p>
    <w:p w:rsidR="00000000" w:rsidDel="00000000" w:rsidP="00000000" w:rsidRDefault="00000000" w:rsidRPr="00000000" w14:paraId="00000013">
      <w:pPr>
        <w:pageBreakBefore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Jeugdcriminologie </w:t>
      </w:r>
    </w:p>
    <w:p w:rsidR="00000000" w:rsidDel="00000000" w:rsidP="00000000" w:rsidRDefault="00000000" w:rsidRPr="00000000" w14:paraId="00000017">
      <w:pPr>
        <w:pageBreakBefore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4"/>
        </w:numPr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Artikel van Tom Daems over de rellen van Brusselse jongeren in Blankenberge. </w:t>
      </w:r>
    </w:p>
    <w:p w:rsidR="00000000" w:rsidDel="00000000" w:rsidP="00000000" w:rsidRDefault="00000000" w:rsidRPr="00000000" w14:paraId="00000019">
      <w:pPr>
        <w:pageBreakBefore w:val="0"/>
        <w:numPr>
          <w:ilvl w:val="1"/>
          <w:numId w:val="4"/>
        </w:numPr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Chronocentrisme uitleggen en uitleggen wat dat met het artikel te maken heeft.</w:t>
      </w:r>
    </w:p>
    <w:p w:rsidR="00000000" w:rsidDel="00000000" w:rsidP="00000000" w:rsidRDefault="00000000" w:rsidRPr="00000000" w14:paraId="0000001A">
      <w:pPr>
        <w:pageBreakBefore w:val="0"/>
        <w:numPr>
          <w:ilvl w:val="1"/>
          <w:numId w:val="4"/>
        </w:numPr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Januskop uitleggen.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4"/>
        </w:numPr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Vraag over de theorie van de maatschappelijke kwetsbaarheid.</w:t>
      </w:r>
    </w:p>
    <w:p w:rsidR="00000000" w:rsidDel="00000000" w:rsidP="00000000" w:rsidRDefault="00000000" w:rsidRPr="00000000" w14:paraId="0000001C">
      <w:pPr>
        <w:pageBreakBefore w:val="0"/>
        <w:numPr>
          <w:ilvl w:val="1"/>
          <w:numId w:val="4"/>
        </w:numPr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Wat is het en hoe leidt het tot jeugdcriminaliteit?</w:t>
      </w:r>
    </w:p>
    <w:p w:rsidR="00000000" w:rsidDel="00000000" w:rsidP="00000000" w:rsidRDefault="00000000" w:rsidRPr="00000000" w14:paraId="0000001D">
      <w:pPr>
        <w:pageBreakBefore w:val="0"/>
        <w:numPr>
          <w:ilvl w:val="1"/>
          <w:numId w:val="4"/>
        </w:numPr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Waarom wordt het een integratieve theorie genoemd?</w:t>
      </w:r>
    </w:p>
    <w:p w:rsidR="00000000" w:rsidDel="00000000" w:rsidP="00000000" w:rsidRDefault="00000000" w:rsidRPr="00000000" w14:paraId="0000001E">
      <w:pPr>
        <w:pageBreakBefore w:val="0"/>
        <w:numPr>
          <w:ilvl w:val="1"/>
          <w:numId w:val="4"/>
        </w:numPr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De Brusselse jongeren ervaren nu meer maatschappelijke kwetsbaarheid door het aanscherpen van de Corona maatregelen. Hoe zou dat komen, geef een voorbeeld.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4"/>
        </w:numPr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Leg uit:</w:t>
      </w:r>
    </w:p>
    <w:p w:rsidR="00000000" w:rsidDel="00000000" w:rsidP="00000000" w:rsidRDefault="00000000" w:rsidRPr="00000000" w14:paraId="00000020">
      <w:pPr>
        <w:pageBreakBefore w:val="0"/>
        <w:numPr>
          <w:ilvl w:val="1"/>
          <w:numId w:val="4"/>
        </w:numPr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Multifinaliteit</w:t>
      </w:r>
    </w:p>
    <w:p w:rsidR="00000000" w:rsidDel="00000000" w:rsidP="00000000" w:rsidRDefault="00000000" w:rsidRPr="00000000" w14:paraId="00000021">
      <w:pPr>
        <w:pageBreakBefore w:val="0"/>
        <w:numPr>
          <w:ilvl w:val="1"/>
          <w:numId w:val="4"/>
        </w:numPr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Equifinaliteit</w:t>
      </w:r>
    </w:p>
    <w:p w:rsidR="00000000" w:rsidDel="00000000" w:rsidP="00000000" w:rsidRDefault="00000000" w:rsidRPr="00000000" w14:paraId="00000022">
      <w:pPr>
        <w:numPr>
          <w:ilvl w:val="1"/>
          <w:numId w:val="4"/>
        </w:numPr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Programma-integriteit beginsel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