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Geef en bespreek de 6 valkuilen bij een fraudeonderzoek. (3 punten) (Gastcollege Bart De Bie)</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Leg het ontstaan van La Ronde de Nuit ten aanzien van de ‘junior partner’-theorie. (4 punten) </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Leg ‘evil causes evil’-valkuil uit in het  licht van de privatiseringstendensen in de strafuitvoering. (4 punten)</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Bespreek en vergelijk de verschillende soorten van stadionverbod en geef de relevante wettelijke bepaling. (3 punten)</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Licht toe wanneer bewakingsagenten mogen overgaan tot een uitgangscontrole (voorwaarden) en geef hierbij telkens de wettelijke bepalingen. (2 punten)</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Slachtoffergerichtheid is één van de kenmerken die Shearing en Stenning geven voor de private veiligheid. Leg dit uit aan de hand van het onderzoek naar slachtoffers van huiselijk geweld van Fitz-Gibbon en Harkin. Welke risico’s geven deze onderzoekers aan. (4 punten)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